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774F8" w14:textId="3F264AA6" w:rsidR="00901328" w:rsidRDefault="00260D16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r>
        <w:rPr>
          <w:rFonts w:ascii="Calibri" w:hAnsi="Calibri"/>
          <w:b/>
          <w:color w:val="5C88DA" w:themeColor="accent1"/>
          <w:sz w:val="28"/>
          <w:szCs w:val="28"/>
        </w:rPr>
        <w:t>Nasce a Drivalia, o novo Planeta da Mobilidade</w:t>
      </w:r>
    </w:p>
    <w:p w14:paraId="580F1D9E" w14:textId="67F82A96" w:rsidR="00700049" w:rsidRDefault="00700049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r>
        <w:rPr>
          <w:rFonts w:ascii="Calibri" w:hAnsi="Calibri"/>
          <w:b/>
          <w:color w:val="5C88DA" w:themeColor="accent1"/>
          <w:sz w:val="28"/>
          <w:szCs w:val="28"/>
        </w:rPr>
        <w:t xml:space="preserve"> </w:t>
      </w:r>
    </w:p>
    <w:p w14:paraId="3A51D778" w14:textId="2731F6F8" w:rsidR="00216A38" w:rsidRPr="00901328" w:rsidRDefault="009A28B8" w:rsidP="00851ED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Apresentada oficialmente, no Salão Mundial do Automóvel de Paris, a Drivalia, a nova empresa de aluguer e mobilidade do Gruppo FCA Bank, que recebe o legado da Leasys Rent.</w:t>
      </w:r>
    </w:p>
    <w:p w14:paraId="14D0002F" w14:textId="6A9AC57F" w:rsidR="00E6413C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Drivalia nasce com a ambição de </w:t>
      </w:r>
      <w:r>
        <w:rPr>
          <w:b/>
          <w:bCs/>
          <w:sz w:val="20"/>
          <w:szCs w:val="20"/>
        </w:rPr>
        <w:t xml:space="preserve">se tornar um dos principais operadores europeus no setor da mobilidade do futuro. </w:t>
      </w:r>
    </w:p>
    <w:p w14:paraId="5BCEE5BD" w14:textId="3C5AA55C" w:rsidR="00903A30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nova marca </w:t>
      </w:r>
      <w:r>
        <w:rPr>
          <w:b/>
          <w:bCs/>
          <w:sz w:val="20"/>
          <w:szCs w:val="20"/>
        </w:rPr>
        <w:t xml:space="preserve">ocupar-se-á de mobilidade a 360°, do </w:t>
      </w:r>
      <w:r>
        <w:rPr>
          <w:b/>
          <w:bCs/>
          <w:i/>
          <w:iCs/>
          <w:sz w:val="20"/>
          <w:szCs w:val="20"/>
        </w:rPr>
        <w:t>car sharing</w:t>
      </w:r>
      <w:r>
        <w:rPr>
          <w:b/>
          <w:bCs/>
          <w:sz w:val="20"/>
          <w:szCs w:val="20"/>
        </w:rPr>
        <w:t xml:space="preserve"> elétrico às inovadoras assinaturas de automóvel, passando pelo aluguer que abrange todas as durações</w:t>
      </w:r>
      <w:r>
        <w:rPr>
          <w:b/>
          <w:sz w:val="20"/>
          <w:szCs w:val="20"/>
        </w:rPr>
        <w:t>.</w:t>
      </w:r>
    </w:p>
    <w:p w14:paraId="312F008A" w14:textId="60BDC087" w:rsidR="004E471B" w:rsidRPr="00E6413C" w:rsidRDefault="009A28B8" w:rsidP="00E6413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Drivalia continuará a desenvolver soluções inovadoras dedicadas à mobilidade verde, como as assinaturas CarCloud. Anunciada também a nova denominação do </w:t>
      </w:r>
      <w:r>
        <w:rPr>
          <w:b/>
          <w:i/>
          <w:iCs/>
          <w:sz w:val="20"/>
          <w:szCs w:val="20"/>
        </w:rPr>
        <w:t>car sharing</w:t>
      </w:r>
      <w:r>
        <w:rPr>
          <w:b/>
          <w:sz w:val="20"/>
          <w:szCs w:val="20"/>
        </w:rPr>
        <w:t xml:space="preserve"> 100% elétrico, e-GO!, que será lançada nos próximos meses também em França.</w:t>
      </w:r>
    </w:p>
    <w:p w14:paraId="5D039811" w14:textId="662672B8" w:rsidR="009A28B8" w:rsidRPr="00B940D1" w:rsidRDefault="009A28B8" w:rsidP="007713DF">
      <w:pPr>
        <w:pStyle w:val="01TEXT"/>
        <w:ind w:firstLine="720"/>
        <w:jc w:val="both"/>
      </w:pPr>
    </w:p>
    <w:p w14:paraId="0DA7D467" w14:textId="77777777" w:rsidR="00595C20" w:rsidRPr="00B940D1" w:rsidRDefault="00595C20" w:rsidP="007713DF">
      <w:pPr>
        <w:pStyle w:val="01TEXT"/>
        <w:ind w:firstLine="720"/>
        <w:jc w:val="both"/>
      </w:pPr>
    </w:p>
    <w:p w14:paraId="130B2C4C" w14:textId="4AA54F5C" w:rsidR="0022039B" w:rsidRPr="005956B9" w:rsidRDefault="00A51332" w:rsidP="005956B9">
      <w:pPr>
        <w:pStyle w:val="01TEXT"/>
        <w:jc w:val="both"/>
      </w:pPr>
      <w:r>
        <w:rPr>
          <w:i/>
          <w:iCs/>
          <w:sz w:val="20"/>
          <w:szCs w:val="20"/>
          <w:shd w:val="clear" w:color="auto" w:fill="FFFFFF"/>
        </w:rPr>
        <w:t>Paris, 17 de outubro de 2022</w:t>
      </w:r>
    </w:p>
    <w:p w14:paraId="1981D451" w14:textId="63A4E24A" w:rsidR="005956B9" w:rsidRDefault="005956B9" w:rsidP="005956B9">
      <w:pPr>
        <w:pStyle w:val="01TEXT"/>
        <w:rPr>
          <w:b/>
          <w:sz w:val="20"/>
          <w:szCs w:val="20"/>
          <w:lang w:val="it-IT"/>
        </w:rPr>
      </w:pPr>
    </w:p>
    <w:p w14:paraId="61D16EF9" w14:textId="7B2783C7" w:rsidR="005956B9" w:rsidRPr="005552FB" w:rsidRDefault="005956B9" w:rsidP="00292203">
      <w:pPr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2022 marca um ponto de viragem na estratégia de desenvolvimento do </w:t>
      </w:r>
      <w:r>
        <w:rPr>
          <w:b/>
          <w:bCs/>
          <w:sz w:val="20"/>
          <w:szCs w:val="20"/>
        </w:rPr>
        <w:t>Gruppo FCA Bank</w:t>
      </w:r>
      <w:r>
        <w:rPr>
          <w:bCs/>
          <w:sz w:val="20"/>
          <w:szCs w:val="20"/>
        </w:rPr>
        <w:t xml:space="preserve">. Por ocasião do prestigiado Salão Mundial do Automóvel de Paris, é apresentada oficialmente a nova marca </w:t>
      </w:r>
      <w:r>
        <w:rPr>
          <w:b/>
          <w:bCs/>
          <w:sz w:val="20"/>
          <w:szCs w:val="20"/>
        </w:rPr>
        <w:t>Drivalia</w:t>
      </w:r>
      <w:r>
        <w:rPr>
          <w:bCs/>
          <w:sz w:val="20"/>
          <w:szCs w:val="20"/>
        </w:rPr>
        <w:t xml:space="preserve">, nascida com a ambição de se tornar um dos principais operadores no setor da nova mobilidade na Europa. A Drivalia assegura a continuidade da Leasys Rent, a precedente empresa do Grupo especializada em aluguer e subscrição de carro, para ampliar a sua abrangência e projetá-la em direção ao futuro. </w:t>
      </w:r>
    </w:p>
    <w:p w14:paraId="30AB7560" w14:textId="41198C33" w:rsidR="00292203" w:rsidRDefault="00E6413C" w:rsidP="001B5325">
      <w:pPr>
        <w:pStyle w:val="01TEXT"/>
        <w:jc w:val="both"/>
        <w:rPr>
          <w:bCs/>
          <w:sz w:val="20"/>
          <w:szCs w:val="20"/>
        </w:rPr>
      </w:pPr>
      <w:r>
        <w:rPr>
          <w:b/>
          <w:noProof/>
          <w:sz w:val="20"/>
          <w:szCs w:val="20"/>
          <w:lang w:val="it-IT"/>
        </w:rPr>
        <w:drawing>
          <wp:anchor distT="0" distB="0" distL="114300" distR="114300" simplePos="0" relativeHeight="251658240" behindDoc="1" locked="0" layoutInCell="1" allowOverlap="1" wp14:anchorId="0376798C" wp14:editId="0C76D819">
            <wp:simplePos x="0" y="0"/>
            <wp:positionH relativeFrom="margin">
              <wp:posOffset>314325</wp:posOffset>
            </wp:positionH>
            <wp:positionV relativeFrom="paragraph">
              <wp:posOffset>90170</wp:posOffset>
            </wp:positionV>
            <wp:extent cx="4679950" cy="1860550"/>
            <wp:effectExtent l="0" t="0" r="6350" b="635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" name="Immagine 4" descr="D:\users\sc68694\AppData\Local\Microsoft\Windows\INetCache\Content.Word\DRIVALIA Planet Mobil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DRIVALIA Planet Mobilit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1" b="19608"/>
                    <a:stretch/>
                  </pic:blipFill>
                  <pic:spPr bwMode="auto">
                    <a:xfrm>
                      <a:off x="0" y="0"/>
                      <a:ext cx="46799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C87AB6" w14:textId="35F75172" w:rsidR="001B5325" w:rsidRPr="005552FB" w:rsidRDefault="001B532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Uma ambição sintetizada no conceito </w:t>
      </w:r>
      <w:r>
        <w:rPr>
          <w:b/>
          <w:bCs/>
          <w:sz w:val="20"/>
          <w:szCs w:val="20"/>
        </w:rPr>
        <w:t>“Planet Mobility”.</w:t>
      </w:r>
      <w:r>
        <w:rPr>
          <w:bCs/>
          <w:sz w:val="20"/>
          <w:szCs w:val="20"/>
        </w:rPr>
        <w:t xml:space="preserve"> No centro do grande projeto da Drivalia está o desenvolvimento de uma </w:t>
      </w:r>
      <w:r>
        <w:rPr>
          <w:b/>
          <w:bCs/>
          <w:sz w:val="20"/>
          <w:szCs w:val="20"/>
        </w:rPr>
        <w:t>gama completa de soluções de mobilidade</w:t>
      </w:r>
      <w:r>
        <w:rPr>
          <w:bCs/>
          <w:sz w:val="20"/>
          <w:szCs w:val="20"/>
        </w:rPr>
        <w:t xml:space="preserve">: do </w:t>
      </w:r>
      <w:r>
        <w:rPr>
          <w:bCs/>
          <w:i/>
          <w:iCs/>
          <w:sz w:val="20"/>
          <w:szCs w:val="20"/>
        </w:rPr>
        <w:t>car sharing</w:t>
      </w:r>
      <w:r>
        <w:rPr>
          <w:bCs/>
          <w:sz w:val="20"/>
          <w:szCs w:val="20"/>
        </w:rPr>
        <w:t xml:space="preserve"> elétrico às inovadoras subscrições de viatura, passando pelo aluguer que abrange todas as durações. A nova empresa ocupar-se-á de mobilidade de 360°, propondo fórmulas de mobilidade inovadoras que unem flexibilidade, fruição digital, abordagem </w:t>
      </w:r>
      <w:r>
        <w:rPr>
          <w:bCs/>
          <w:i/>
          <w:sz w:val="20"/>
          <w:szCs w:val="20"/>
        </w:rPr>
        <w:t>on demand</w:t>
      </w:r>
      <w:r>
        <w:rPr>
          <w:bCs/>
          <w:sz w:val="20"/>
          <w:szCs w:val="20"/>
        </w:rPr>
        <w:t xml:space="preserve"> e sustentabilidade.</w:t>
      </w:r>
    </w:p>
    <w:p w14:paraId="6E1B6DEB" w14:textId="335FD9C8" w:rsidR="001B5325" w:rsidRPr="00B940D1" w:rsidRDefault="001B5325" w:rsidP="00292203">
      <w:pPr>
        <w:spacing w:line="276" w:lineRule="auto"/>
        <w:rPr>
          <w:bCs/>
          <w:sz w:val="20"/>
          <w:szCs w:val="20"/>
          <w:shd w:val="clear" w:color="auto" w:fill="FFFFFF"/>
          <w:lang w:val="fr-FR"/>
        </w:rPr>
      </w:pPr>
    </w:p>
    <w:p w14:paraId="2703A9C6" w14:textId="6A8FE417" w:rsidR="00292203" w:rsidRDefault="008E6781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</w:rPr>
      </w:pPr>
      <w:r>
        <w:rPr>
          <w:bCs/>
          <w:sz w:val="20"/>
          <w:szCs w:val="20"/>
          <w:shd w:val="clear" w:color="auto" w:fill="FFFFFF"/>
        </w:rPr>
        <w:t xml:space="preserve">A Drivalia nasce com o objetivo de </w:t>
      </w:r>
      <w:r>
        <w:rPr>
          <w:b/>
          <w:bCs/>
          <w:sz w:val="20"/>
          <w:szCs w:val="20"/>
          <w:shd w:val="clear" w:color="auto" w:fill="FFFFFF"/>
        </w:rPr>
        <w:t>democratizar a mobilidade verde</w:t>
      </w:r>
      <w:r>
        <w:rPr>
          <w:bCs/>
          <w:sz w:val="20"/>
          <w:szCs w:val="20"/>
          <w:shd w:val="clear" w:color="auto" w:fill="FFFFFF"/>
        </w:rPr>
        <w:t>, tornando-a acessível</w:t>
      </w:r>
      <w:r>
        <w:rPr>
          <w:b/>
          <w:bCs/>
          <w:sz w:val="20"/>
          <w:szCs w:val="20"/>
          <w:shd w:val="clear" w:color="auto" w:fill="FFFFFF"/>
        </w:rPr>
        <w:t xml:space="preserve"> </w:t>
      </w:r>
      <w:r>
        <w:rPr>
          <w:bCs/>
          <w:sz w:val="20"/>
          <w:szCs w:val="20"/>
          <w:shd w:val="clear" w:color="auto" w:fill="FFFFFF"/>
        </w:rPr>
        <w:t xml:space="preserve">ao maior número possível de pessoas. Para tanto, a empresa continuará a desenvolver soluções de subscrição de viatura, como a inovadora </w:t>
      </w:r>
      <w:r>
        <w:rPr>
          <w:b/>
          <w:bCs/>
          <w:sz w:val="20"/>
          <w:szCs w:val="20"/>
          <w:shd w:val="clear" w:color="auto" w:fill="FFFFFF"/>
        </w:rPr>
        <w:t>CarCloud</w:t>
      </w:r>
      <w:r>
        <w:rPr>
          <w:bCs/>
          <w:sz w:val="20"/>
          <w:szCs w:val="20"/>
          <w:shd w:val="clear" w:color="auto" w:fill="FFFFFF"/>
        </w:rPr>
        <w:t xml:space="preserve"> e a </w:t>
      </w:r>
      <w:r>
        <w:rPr>
          <w:b/>
          <w:bCs/>
          <w:sz w:val="20"/>
          <w:szCs w:val="20"/>
          <w:shd w:val="clear" w:color="auto" w:fill="FFFFFF"/>
        </w:rPr>
        <w:t>Be Free EVO</w:t>
      </w:r>
      <w:r>
        <w:rPr>
          <w:bCs/>
          <w:sz w:val="20"/>
          <w:szCs w:val="20"/>
          <w:shd w:val="clear" w:color="auto" w:fill="FFFFFF"/>
        </w:rPr>
        <w:t xml:space="preserve">. </w:t>
      </w:r>
    </w:p>
    <w:p w14:paraId="30FC8415" w14:textId="7F9AC1E8" w:rsidR="005552FB" w:rsidRDefault="00A167DB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</w:rPr>
      </w:pPr>
      <w:r>
        <w:rPr>
          <w:bCs/>
          <w:sz w:val="20"/>
          <w:szCs w:val="20"/>
          <w:shd w:val="clear" w:color="auto" w:fill="FFFFFF"/>
        </w:rPr>
        <w:lastRenderedPageBreak/>
        <w:t xml:space="preserve">A Drivalia anunciou ainda o </w:t>
      </w:r>
      <w:r>
        <w:rPr>
          <w:bCs/>
          <w:i/>
          <w:iCs/>
          <w:sz w:val="20"/>
          <w:szCs w:val="20"/>
          <w:shd w:val="clear" w:color="auto" w:fill="FFFFFF"/>
        </w:rPr>
        <w:t>rebranding</w:t>
      </w:r>
      <w:r>
        <w:rPr>
          <w:bCs/>
          <w:sz w:val="20"/>
          <w:szCs w:val="20"/>
          <w:shd w:val="clear" w:color="auto" w:fill="FFFFFF"/>
        </w:rPr>
        <w:t xml:space="preserve"> do próprio </w:t>
      </w:r>
      <w:r>
        <w:rPr>
          <w:b/>
          <w:bCs/>
          <w:i/>
          <w:iCs/>
          <w:sz w:val="20"/>
          <w:szCs w:val="20"/>
          <w:shd w:val="clear" w:color="auto" w:fill="FFFFFF"/>
        </w:rPr>
        <w:t>car sharing</w:t>
      </w:r>
      <w:r>
        <w:rPr>
          <w:b/>
          <w:bCs/>
          <w:sz w:val="20"/>
          <w:szCs w:val="20"/>
          <w:shd w:val="clear" w:color="auto" w:fill="FFFFFF"/>
        </w:rPr>
        <w:t xml:space="preserve"> 100% elétrico</w:t>
      </w:r>
      <w:r>
        <w:rPr>
          <w:bCs/>
          <w:sz w:val="20"/>
          <w:szCs w:val="20"/>
          <w:shd w:val="clear" w:color="auto" w:fill="FFFFFF"/>
        </w:rPr>
        <w:t xml:space="preserve">, LeasysGO!, que passou a chamar-se </w:t>
      </w:r>
      <w:r>
        <w:rPr>
          <w:b/>
          <w:bCs/>
          <w:sz w:val="20"/>
          <w:szCs w:val="20"/>
          <w:shd w:val="clear" w:color="auto" w:fill="FFFFFF"/>
        </w:rPr>
        <w:t>e-GO! Drivalia</w:t>
      </w:r>
      <w:r>
        <w:rPr>
          <w:bCs/>
          <w:sz w:val="20"/>
          <w:szCs w:val="20"/>
          <w:shd w:val="clear" w:color="auto" w:fill="FFFFFF"/>
        </w:rPr>
        <w:t xml:space="preserve">. O serviço, já em funcionamento em Turim, Roma e Milão com uma frota de </w:t>
      </w:r>
      <w:r>
        <w:rPr>
          <w:b/>
          <w:bCs/>
          <w:sz w:val="20"/>
          <w:szCs w:val="20"/>
          <w:shd w:val="clear" w:color="auto" w:fill="FFFFFF"/>
        </w:rPr>
        <w:t>Fiat 5oo elétricos</w:t>
      </w:r>
      <w:r>
        <w:rPr>
          <w:bCs/>
          <w:sz w:val="20"/>
          <w:szCs w:val="20"/>
          <w:shd w:val="clear" w:color="auto" w:fill="FFFFFF"/>
        </w:rPr>
        <w:t xml:space="preserve"> em modalidade </w:t>
      </w:r>
      <w:r>
        <w:rPr>
          <w:bCs/>
          <w:i/>
          <w:sz w:val="20"/>
          <w:szCs w:val="20"/>
          <w:shd w:val="clear" w:color="auto" w:fill="FFFFFF"/>
        </w:rPr>
        <w:t>free floating</w:t>
      </w:r>
      <w:r>
        <w:rPr>
          <w:bCs/>
          <w:sz w:val="20"/>
          <w:szCs w:val="20"/>
          <w:shd w:val="clear" w:color="auto" w:fill="FFFFFF"/>
        </w:rPr>
        <w:t xml:space="preserve"> (de fluxo livre, sem vínculos de parqueamento), </w:t>
      </w:r>
      <w:r>
        <w:rPr>
          <w:b/>
          <w:bCs/>
          <w:sz w:val="20"/>
          <w:szCs w:val="20"/>
          <w:shd w:val="clear" w:color="auto" w:fill="FFFFFF"/>
        </w:rPr>
        <w:t>será lançado em França</w:t>
      </w:r>
      <w:r>
        <w:rPr>
          <w:bCs/>
          <w:sz w:val="20"/>
          <w:szCs w:val="20"/>
          <w:shd w:val="clear" w:color="auto" w:fill="FFFFFF"/>
        </w:rPr>
        <w:t xml:space="preserve"> nos próximos meses, para depois ser alargado aos principais países europeus.</w:t>
      </w:r>
    </w:p>
    <w:p w14:paraId="1A73CD8E" w14:textId="5CDACC27" w:rsidR="006426D5" w:rsidRPr="00B940D1" w:rsidRDefault="006426D5" w:rsidP="008E6781">
      <w:pPr>
        <w:jc w:val="both"/>
        <w:rPr>
          <w:bCs/>
          <w:sz w:val="20"/>
          <w:szCs w:val="20"/>
          <w:shd w:val="clear" w:color="auto" w:fill="FFFFFF"/>
        </w:rPr>
      </w:pPr>
    </w:p>
    <w:p w14:paraId="5CB74230" w14:textId="7C3F932D" w:rsidR="00FF511C" w:rsidRDefault="00FF511C" w:rsidP="00FF511C">
      <w:pPr>
        <w:pStyle w:val="01TEXT"/>
        <w:jc w:val="both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>“O Gruppo FCA Bank está a viver uma importante fase de evolução, que se concretizará na primeira metade de 2023, altura em que o Crédit Agricole Consumer Finance se tornará o nosso único acionista, sob reserva da autorização das autoridades competentes. Um projeto fundamental que arranca hoje com a apresentação da Drivalia”</w:t>
      </w:r>
      <w:r>
        <w:rPr>
          <w:sz w:val="20"/>
          <w:szCs w:val="20"/>
        </w:rPr>
        <w:t xml:space="preserve">, afirmou </w:t>
      </w:r>
      <w:r>
        <w:rPr>
          <w:b/>
          <w:sz w:val="20"/>
          <w:szCs w:val="20"/>
        </w:rPr>
        <w:t>Giacomo Carelli</w:t>
      </w:r>
      <w:r>
        <w:rPr>
          <w:sz w:val="20"/>
          <w:szCs w:val="20"/>
        </w:rPr>
        <w:t xml:space="preserve">, </w:t>
      </w:r>
      <w:r>
        <w:rPr>
          <w:b/>
          <w:sz w:val="20"/>
          <w:szCs w:val="20"/>
        </w:rPr>
        <w:t>CEO do FCA Bank</w:t>
      </w:r>
      <w:r>
        <w:rPr>
          <w:sz w:val="20"/>
          <w:szCs w:val="20"/>
        </w:rPr>
        <w:t xml:space="preserve"> e </w:t>
      </w:r>
      <w:r>
        <w:rPr>
          <w:b/>
          <w:sz w:val="20"/>
          <w:szCs w:val="20"/>
        </w:rPr>
        <w:t>Chairman da Drivalia</w:t>
      </w:r>
      <w:r>
        <w:rPr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“Graças às nossas fórmulas inovadoras e personalizáveis, e a uma vasta presença internacional, temos como objetivo </w:t>
      </w:r>
      <w:r>
        <w:rPr>
          <w:bCs/>
          <w:i/>
          <w:sz w:val="20"/>
          <w:szCs w:val="20"/>
        </w:rPr>
        <w:t>tornarmo-nos um interveniente de topo a nível europeu da mobilidade do futuro, destinada a ser mais sustentável e acessível”.</w:t>
      </w:r>
    </w:p>
    <w:p w14:paraId="4008CD31" w14:textId="77777777" w:rsidR="00FF511C" w:rsidRDefault="00FF511C" w:rsidP="00FF511C">
      <w:pPr>
        <w:pStyle w:val="01TEXT"/>
        <w:jc w:val="both"/>
        <w:rPr>
          <w:i/>
          <w:sz w:val="20"/>
          <w:szCs w:val="20"/>
          <w:lang w:val="it-IT"/>
        </w:rPr>
      </w:pPr>
    </w:p>
    <w:p w14:paraId="425956DC" w14:textId="3A0FB10E" w:rsidR="00FF511C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 nascimento da Drivalia assinala o início de um novo percurso, em que se colocará como </w:t>
      </w:r>
      <w:r>
        <w:rPr>
          <w:b/>
          <w:bCs/>
          <w:sz w:val="20"/>
          <w:szCs w:val="20"/>
        </w:rPr>
        <w:t>operadora independente</w:t>
      </w:r>
      <w:r>
        <w:rPr>
          <w:bCs/>
          <w:sz w:val="20"/>
          <w:szCs w:val="20"/>
        </w:rPr>
        <w:t>, já não ligada a uma única Empresa de automóveis, mas sim aberta a novas oportunidades e parcerias, como a recentemente estabelecida com a Tesla.</w:t>
      </w:r>
    </w:p>
    <w:p w14:paraId="067B3496" w14:textId="07083417" w:rsidR="00FF511C" w:rsidRPr="007A2F75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Atualmente a Drivalia está presente em </w:t>
      </w:r>
      <w:r>
        <w:rPr>
          <w:b/>
          <w:bCs/>
          <w:sz w:val="20"/>
          <w:szCs w:val="20"/>
        </w:rPr>
        <w:t>7 Países europeus</w:t>
      </w:r>
      <w:r>
        <w:rPr>
          <w:bCs/>
          <w:sz w:val="20"/>
          <w:szCs w:val="20"/>
        </w:rPr>
        <w:t xml:space="preserve"> (Itália, França, Reino Unido, Espanha, Portugal, Grécia e Dinamarca), mas em 2023 chegará também à Alemanha, Países Baixos, Bélgica, Suíça e Polónia. </w:t>
      </w:r>
    </w:p>
    <w:p w14:paraId="2CB49A75" w14:textId="77777777" w:rsidR="00FF511C" w:rsidRPr="00B940D1" w:rsidRDefault="00FF511C" w:rsidP="00FF511C">
      <w:pPr>
        <w:pStyle w:val="01TEXT"/>
        <w:jc w:val="both"/>
        <w:rPr>
          <w:i/>
          <w:sz w:val="20"/>
          <w:szCs w:val="20"/>
        </w:rPr>
      </w:pPr>
    </w:p>
    <w:p w14:paraId="72BD7755" w14:textId="6BFC4878" w:rsidR="00766C92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 presença na Europa é garantida pelas mais de </w:t>
      </w:r>
      <w:r>
        <w:rPr>
          <w:b/>
          <w:bCs/>
          <w:sz w:val="20"/>
          <w:szCs w:val="20"/>
        </w:rPr>
        <w:t>650 Drivalia Mobility Stores</w:t>
      </w:r>
      <w:r>
        <w:rPr>
          <w:bCs/>
          <w:sz w:val="20"/>
          <w:szCs w:val="20"/>
        </w:rPr>
        <w:t xml:space="preserve"> existentes no território: uma rede de pontos físicos (serão mais de 1.300 em 2025) onde é possível descobrir todas as soluções de mobilidade da empresa. As Stores são completamente eletrificadas, com um total de </w:t>
      </w:r>
      <w:r>
        <w:rPr>
          <w:b/>
          <w:bCs/>
          <w:sz w:val="20"/>
          <w:szCs w:val="20"/>
        </w:rPr>
        <w:t>1.600 pontos de carregamento</w:t>
      </w:r>
      <w:r>
        <w:rPr>
          <w:bCs/>
          <w:sz w:val="20"/>
          <w:szCs w:val="20"/>
        </w:rPr>
        <w:t xml:space="preserve">, que chegarão a 3.100 em 2025. A </w:t>
      </w:r>
      <w:r>
        <w:rPr>
          <w:b/>
          <w:bCs/>
          <w:sz w:val="20"/>
          <w:szCs w:val="20"/>
        </w:rPr>
        <w:t>frota da Drivalia</w:t>
      </w:r>
      <w:r>
        <w:rPr>
          <w:bCs/>
          <w:sz w:val="20"/>
          <w:szCs w:val="20"/>
        </w:rPr>
        <w:t xml:space="preserve"> é composta por 55.000 veículos (160.000 em 2025), 30% dos quais são elétricos ou híbridos </w:t>
      </w:r>
      <w:r>
        <w:rPr>
          <w:bCs/>
          <w:i/>
          <w:iCs/>
          <w:sz w:val="20"/>
          <w:szCs w:val="20"/>
        </w:rPr>
        <w:t>plug-in</w:t>
      </w:r>
      <w:r>
        <w:rPr>
          <w:bCs/>
          <w:sz w:val="20"/>
          <w:szCs w:val="20"/>
        </w:rPr>
        <w:t xml:space="preserve"> (serão 50% em 2025).</w:t>
      </w:r>
    </w:p>
    <w:p w14:paraId="5A6BD513" w14:textId="46F6847C" w:rsidR="00FF511C" w:rsidRDefault="00534D5D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val="it-IT"/>
        </w:rPr>
        <w:drawing>
          <wp:anchor distT="0" distB="0" distL="114300" distR="114300" simplePos="0" relativeHeight="251661312" behindDoc="1" locked="0" layoutInCell="1" allowOverlap="1" wp14:anchorId="15DC4699" wp14:editId="670E31E9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53244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61" y="21502"/>
                <wp:lineTo x="21561" y="0"/>
                <wp:lineTo x="0" y="0"/>
              </wp:wrapPolygon>
            </wp:wrapTight>
            <wp:docPr id="2" name="Immagine 2" descr="D:\users\sc68694\AppData\Local\Microsoft\Windows\INetCache\Content.Word\0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03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F9823F" w14:textId="4F0D9A90" w:rsidR="007A2F75" w:rsidRDefault="00595C20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>“Temos orgulho em apresentar hoje a Drivalia, marca com que daremos forma ao “Planet Mobility”, um sistema completo de mobilidade integrada que abrange diversos produtos e durações</w:t>
      </w:r>
      <w:r>
        <w:rPr>
          <w:bCs/>
          <w:sz w:val="20"/>
          <w:szCs w:val="20"/>
        </w:rPr>
        <w:t xml:space="preserve">”, acrescentou </w:t>
      </w:r>
      <w:r>
        <w:rPr>
          <w:b/>
          <w:bCs/>
          <w:sz w:val="20"/>
          <w:szCs w:val="20"/>
        </w:rPr>
        <w:t>Paolo Manfreddi</w:t>
      </w:r>
      <w:r>
        <w:rPr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CEO da Drivalia</w:t>
      </w:r>
      <w:r>
        <w:rPr>
          <w:bCs/>
          <w:sz w:val="20"/>
          <w:szCs w:val="20"/>
        </w:rPr>
        <w:t xml:space="preserve">. </w:t>
      </w:r>
      <w:r>
        <w:rPr>
          <w:bCs/>
          <w:i/>
          <w:sz w:val="20"/>
          <w:szCs w:val="20"/>
        </w:rPr>
        <w:t xml:space="preserve">“As cores que escolhemos para o logo, violeta e turquesa, inspiram-se no metaverso: isto porque estamos convictos de que as </w:t>
      </w:r>
      <w:r>
        <w:rPr>
          <w:bCs/>
          <w:i/>
          <w:sz w:val="20"/>
          <w:szCs w:val="20"/>
        </w:rPr>
        <w:lastRenderedPageBreak/>
        <w:t>novas tecnologias digitais são instrumentos fundamentais para desenvolver soluções capazes de satisfazer todas as exigências de mobilidade, em particular da mobilidade sustentável”</w:t>
      </w:r>
      <w:r>
        <w:rPr>
          <w:bCs/>
          <w:sz w:val="20"/>
          <w:szCs w:val="20"/>
        </w:rPr>
        <w:t xml:space="preserve">. </w:t>
      </w:r>
    </w:p>
    <w:p w14:paraId="5714248A" w14:textId="77777777" w:rsidR="007A2F75" w:rsidRPr="00B940D1" w:rsidRDefault="007A2F75" w:rsidP="007A2F75">
      <w:pPr>
        <w:pStyle w:val="01TEXT"/>
        <w:jc w:val="both"/>
        <w:rPr>
          <w:bCs/>
          <w:sz w:val="20"/>
          <w:szCs w:val="20"/>
        </w:rPr>
      </w:pPr>
    </w:p>
    <w:p w14:paraId="22152734" w14:textId="15318AE1" w:rsidR="0022039B" w:rsidRPr="000D24A2" w:rsidRDefault="00D05427" w:rsidP="00867FDA">
      <w:pPr>
        <w:pStyle w:val="01TE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nascimento da Drivalia inscreve-se no percurso de crescimento mais amplo do FCA Bank, um banco com experiência quase centenária no financiamento automóvel. No primeiro semestre de 2023, sob reserva da autorização das autoridades competentes, o Crédit Agricole Consumer Finance comprará 100% do FCA Bank: nascerá um novo ator pan-europeu, com um novo nome, </w:t>
      </w:r>
      <w:r>
        <w:rPr>
          <w:b/>
          <w:sz w:val="20"/>
          <w:szCs w:val="20"/>
        </w:rPr>
        <w:t>entre os principais operadores independentes no setor do financiamento automóvel</w:t>
      </w:r>
      <w:r>
        <w:rPr>
          <w:sz w:val="20"/>
          <w:szCs w:val="20"/>
        </w:rPr>
        <w:t>, com um objetivo de chegar a 10 mil milhões de euros em circulação até 2026. O novo Banco poderá potenciar os acordos com parceiros atuais e iniciar outros, sempre com o apoio do Crédit Agricole. Acima de tudo, poderá alargar o seu raio de ação em todos os setores: dos automóveis às motorizadas, do lazer à náutica, da agricultura aos veículos comerciais ligeiros e pesados.</w:t>
      </w:r>
    </w:p>
    <w:p w14:paraId="1E7A66D8" w14:textId="77777777" w:rsidR="007C1DC9" w:rsidRPr="00B940D1" w:rsidRDefault="007C1DC9" w:rsidP="00867FDA">
      <w:pPr>
        <w:pStyle w:val="01TEXT"/>
        <w:jc w:val="both"/>
        <w:rPr>
          <w:b/>
          <w:sz w:val="20"/>
          <w:szCs w:val="20"/>
        </w:rPr>
      </w:pPr>
    </w:p>
    <w:p w14:paraId="6D1374F2" w14:textId="77777777" w:rsidR="007C1DC9" w:rsidRPr="00B940D1" w:rsidRDefault="007C1DC9" w:rsidP="00867FDA">
      <w:pPr>
        <w:pStyle w:val="01TEXT"/>
        <w:jc w:val="both"/>
        <w:rPr>
          <w:b/>
          <w:sz w:val="20"/>
          <w:szCs w:val="20"/>
        </w:rPr>
      </w:pPr>
    </w:p>
    <w:p w14:paraId="6DED9C10" w14:textId="77777777" w:rsidR="009A28B8" w:rsidRPr="00B940D1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4F89147D" w14:textId="77777777" w:rsidR="009A28B8" w:rsidRPr="00B940D1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58E3D0DB" w14:textId="77777777" w:rsidR="009A28B8" w:rsidRPr="00B940D1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36D04C68" w14:textId="77777777" w:rsidR="009A28B8" w:rsidRPr="00B940D1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30CCD9D7" w14:textId="77777777" w:rsidR="00CD6E3B" w:rsidRPr="00CD6E3B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</w:rPr>
      </w:pPr>
      <w:r>
        <w:rPr>
          <w:b/>
          <w:i/>
          <w:color w:val="5B6770"/>
          <w:sz w:val="16"/>
          <w:szCs w:val="16"/>
        </w:rPr>
        <w:t>FCA Bank</w:t>
      </w:r>
    </w:p>
    <w:p w14:paraId="3DCDCD9F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</w:rPr>
      </w:pPr>
      <w:r>
        <w:rPr>
          <w:i/>
          <w:iCs/>
          <w:color w:val="5B6770"/>
          <w:sz w:val="16"/>
          <w:szCs w:val="16"/>
          <w:shd w:val="clear" w:color="auto" w:fill="FFFFFF"/>
        </w:rPr>
        <w:t>O FCA Bank S.p.A. é um banco dedicado principalmente ao financiamento automóvel e ao setor da mobilidade. O FCA Bank S.p.A. fornece produtos financeiros para apoiar as vendas de marcas de automóveis de prestígio em Itália e na Europa. Os programas de crédito, leasing, aluguer e financiamento da mobilidade propostos pelo FCA Bank S.p.A. são concebidos especificamente para as redes de venda, os clientes particulares e as frotas de empresas. O FCA Bank S.p.A. está presente em 17 países europeus e em Marrocos, diretamente ou por meio de filiais. A 30 de junho de 2022, o FCA Bank geria uma carteira de créditos correspondente a cerca de 25,8 mil milhões de euros. </w:t>
      </w:r>
    </w:p>
    <w:p w14:paraId="1B560F4D" w14:textId="64994B03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  <w:r>
        <w:rPr>
          <w:i/>
          <w:color w:val="5B6770"/>
          <w:sz w:val="16"/>
          <w:szCs w:val="16"/>
        </w:rPr>
        <w:t xml:space="preserve">Através da </w:t>
      </w:r>
      <w:r>
        <w:rPr>
          <w:b/>
          <w:i/>
          <w:color w:val="5B6770"/>
          <w:sz w:val="16"/>
          <w:szCs w:val="16"/>
        </w:rPr>
        <w:t>Drivalia</w:t>
      </w:r>
      <w:r>
        <w:rPr>
          <w:i/>
          <w:color w:val="5B6770"/>
          <w:sz w:val="16"/>
          <w:szCs w:val="16"/>
        </w:rPr>
        <w:t>, especializada em soluções de aluguer e subscrição, o Banco propõe um sistema completo e inovador de serviços para a mobilidade. A Drivalia lançou a primeira assinatura de carro em Itália: CarCloud. Em junho de 2019, a empresa inaugurou a rede das Mobility Stores, pontos de venda físicos onde os clientes podem ter acesso a todos os serviços de mobilidade propostos. Com o lançamento da primeira Mobility Store completamente eletrificada no aeroporto de Turim - Caselle em 2020, a que seguiram muitas outras, a Drivalia tornou-se um operador de referência na mobilidade sustentável: contando hoje com mais de 1.600 pontos de carregamento instalados em todas as Stores, dispõe da maior rede eletrificada privada de Itália. No curso de 2022 e 2023, o projeto de eletrificação prosseguirá também nos países europeus onde a Drivalia opera.</w:t>
      </w:r>
    </w:p>
    <w:p w14:paraId="249EC7CC" w14:textId="77777777" w:rsidR="000D24A2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</w:p>
    <w:p w14:paraId="4F95BBD6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</w:rPr>
      </w:pPr>
      <w:r>
        <w:rPr>
          <w:i/>
          <w:color w:val="5B6770"/>
          <w:sz w:val="16"/>
          <w:szCs w:val="16"/>
        </w:rPr>
        <w:t>Para mais informações:</w:t>
      </w:r>
    </w:p>
    <w:p w14:paraId="3E53E9CB" w14:textId="77777777" w:rsidR="00CD6E3B" w:rsidRPr="00CD6E3B" w:rsidRDefault="009F1552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</w:rPr>
      </w:pPr>
      <w:hyperlink r:id="rId10">
        <w:r>
          <w:rPr>
            <w:i/>
            <w:color w:val="0000FF"/>
            <w:sz w:val="16"/>
            <w:szCs w:val="16"/>
            <w:u w:val="single"/>
          </w:rPr>
          <w:t>www.fcabankgroup.com</w:t>
        </w:r>
      </w:hyperlink>
      <w:r>
        <w:rPr>
          <w:i/>
          <w:color w:val="595959"/>
          <w:sz w:val="16"/>
          <w:szCs w:val="16"/>
        </w:rPr>
        <w:t xml:space="preserve"> </w:t>
      </w:r>
    </w:p>
    <w:p w14:paraId="19F26F2F" w14:textId="5AD48A9F" w:rsidR="00CD6E3B" w:rsidRPr="00B940D1" w:rsidRDefault="009F1552" w:rsidP="00B940D1">
      <w:pPr>
        <w:spacing w:line="276" w:lineRule="auto"/>
        <w:jc w:val="both"/>
        <w:rPr>
          <w:i/>
          <w:color w:val="0000FF"/>
          <w:sz w:val="16"/>
          <w:szCs w:val="16"/>
          <w:u w:val="single"/>
        </w:rPr>
      </w:pPr>
      <w:hyperlink r:id="rId11" w:history="1">
        <w:r>
          <w:rPr>
            <w:rStyle w:val="Collegamentoipertestuale"/>
            <w:i/>
            <w:sz w:val="16"/>
            <w:szCs w:val="16"/>
          </w:rPr>
          <w:t>www.drivalia.com</w:t>
        </w:r>
      </w:hyperlink>
      <w:r>
        <w:rPr>
          <w:i/>
          <w:color w:val="0000FF"/>
          <w:sz w:val="16"/>
          <w:szCs w:val="16"/>
          <w:u w:val="single"/>
        </w:rPr>
        <w:t xml:space="preserve"> </w:t>
      </w:r>
      <w:bookmarkStart w:id="0" w:name="_GoBack"/>
      <w:bookmarkEnd w:id="0"/>
    </w:p>
    <w:sectPr w:rsidR="00CD6E3B" w:rsidRPr="00B940D1" w:rsidSect="008D1AB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7CF31" w14:textId="77777777" w:rsidR="009C4F5D" w:rsidRDefault="009C4F5D" w:rsidP="00C14381">
      <w:r>
        <w:separator/>
      </w:r>
    </w:p>
  </w:endnote>
  <w:endnote w:type="continuationSeparator" w:id="0">
    <w:p w14:paraId="0DDCABFE" w14:textId="77777777" w:rsidR="009C4F5D" w:rsidRDefault="009C4F5D" w:rsidP="00C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48D3E" w14:textId="5F42448D" w:rsidR="00885AD7" w:rsidRDefault="00885AD7" w:rsidP="00D86831">
    <w:pPr>
      <w:pStyle w:val="Pidipagina"/>
    </w:pPr>
  </w:p>
  <w:p w14:paraId="0C4CCB77" w14:textId="77777777" w:rsidR="00D86831" w:rsidRDefault="00D86831" w:rsidP="00D86831">
    <w:pPr>
      <w:pStyle w:val="Pidipagina"/>
    </w:pPr>
  </w:p>
  <w:p w14:paraId="5EAB51F9" w14:textId="77777777" w:rsidR="00885AD7" w:rsidRDefault="00885A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AFD24" w14:textId="1402D4A6" w:rsidR="00926677" w:rsidRDefault="00926677">
    <w:pPr>
      <w:pStyle w:val="Pidipagina"/>
      <w:jc w:val="center"/>
    </w:pPr>
  </w:p>
  <w:p w14:paraId="03AC9EF6" w14:textId="77777777" w:rsidR="00926677" w:rsidRDefault="009266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08C8" w14:textId="77777777" w:rsidR="009C4F5D" w:rsidRDefault="009C4F5D" w:rsidP="00C14381">
      <w:r>
        <w:separator/>
      </w:r>
    </w:p>
  </w:footnote>
  <w:footnote w:type="continuationSeparator" w:id="0">
    <w:p w14:paraId="13DA1D12" w14:textId="77777777" w:rsidR="009C4F5D" w:rsidRDefault="009C4F5D" w:rsidP="00C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48C32" w14:textId="1EC7CCFC" w:rsidR="00892BAA" w:rsidRDefault="00A825D1" w:rsidP="00C14381">
    <w:pPr>
      <w:rPr>
        <w:noProof/>
      </w:rPr>
    </w:pPr>
    <w:r>
      <w:rPr>
        <w:noProof/>
        <w:lang w:val="it-IT"/>
      </w:rPr>
      <w:drawing>
        <wp:anchor distT="0" distB="0" distL="114300" distR="114300" simplePos="0" relativeHeight="251693056" behindDoc="1" locked="1" layoutInCell="1" allowOverlap="1" wp14:anchorId="66947524" wp14:editId="5CC57935">
          <wp:simplePos x="0" y="0"/>
          <wp:positionH relativeFrom="margin">
            <wp:posOffset>0</wp:posOffset>
          </wp:positionH>
          <wp:positionV relativeFrom="page">
            <wp:posOffset>753110</wp:posOffset>
          </wp:positionV>
          <wp:extent cx="2139950" cy="266065"/>
          <wp:effectExtent l="0" t="0" r="0" b="635"/>
          <wp:wrapTight wrapText="bothSides">
            <wp:wrapPolygon edited="0">
              <wp:start x="0" y="0"/>
              <wp:lineTo x="0" y="20105"/>
              <wp:lineTo x="21344" y="20105"/>
              <wp:lineTo x="21344" y="0"/>
              <wp:lineTo x="0" y="0"/>
            </wp:wrapPolygon>
          </wp:wrapTight>
          <wp:docPr id="5" name="Immagine 5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2139950" cy="266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</w:p>
  <w:p w14:paraId="3B718E3A" w14:textId="2C3928F4" w:rsidR="00A47A56" w:rsidRDefault="0044628E" w:rsidP="00C14381">
    <w:r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15C50" w14:textId="60442894" w:rsidR="00990C56" w:rsidRPr="008D1AB8" w:rsidRDefault="0044628E" w:rsidP="008D1AB8">
    <w:pPr>
      <w:tabs>
        <w:tab w:val="left" w:pos="7428"/>
      </w:tabs>
      <w:spacing w:line="240" w:lineRule="auto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73600" behindDoc="1" locked="1" layoutInCell="1" allowOverlap="1" wp14:anchorId="323CF48E" wp14:editId="344D7012">
          <wp:simplePos x="0" y="0"/>
          <wp:positionH relativeFrom="margin">
            <wp:posOffset>-38100</wp:posOffset>
          </wp:positionH>
          <wp:positionV relativeFrom="page">
            <wp:posOffset>647700</wp:posOffset>
          </wp:positionV>
          <wp:extent cx="1924050" cy="238760"/>
          <wp:effectExtent l="0" t="0" r="0" b="8890"/>
          <wp:wrapTight wrapText="bothSides">
            <wp:wrapPolygon edited="0">
              <wp:start x="0" y="0"/>
              <wp:lineTo x="0" y="20681"/>
              <wp:lineTo x="21386" y="20681"/>
              <wp:lineTo x="21386" y="0"/>
              <wp:lineTo x="0" y="0"/>
            </wp:wrapPolygon>
          </wp:wrapTight>
          <wp:docPr id="1" name="Immagine 1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1924050" cy="238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62EDF141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990C56" w:rsidRPr="00990C56">
      <w:rPr>
        <w:rFonts w:ascii="Times New Roman" w:hAnsi="Times New Roman"/>
        <w:color w:val="auto"/>
        <w:sz w:val="24"/>
        <w:szCs w:val="24"/>
      </w:rPr>
      <w:fldChar w:fldCharType="begin"/>
    </w:r>
    <w:r w:rsidR="00990C56" w:rsidRPr="00990C56">
      <w:rPr>
        <w:rFonts w:ascii="Times New Roman" w:hAnsi="Times New Roman"/>
        <w:color w:val="auto"/>
        <w:sz w:val="24"/>
        <w:szCs w:val="24"/>
      </w:rPr>
      <w:instrText xml:space="preserve"> INCLUDEPICTURE "https://www.rmcmotori.com/wp-content/uploads/2019/12/fdcf1f_fac94b2241924a7f99a6a59d7700e288-mv2.png" \* MERGEFORMATINET </w:instrText>
    </w:r>
    <w:r w:rsidR="00990C56" w:rsidRPr="00990C56">
      <w:rPr>
        <w:rFonts w:ascii="Times New Roman" w:hAnsi="Times New Roman"/>
        <w:color w:val="auto"/>
        <w:sz w:val="24"/>
        <w:szCs w:val="24"/>
      </w:rPr>
      <w:fldChar w:fldCharType="end"/>
    </w:r>
  </w:p>
  <w:p w14:paraId="10BDBD6D" w14:textId="77777777" w:rsidR="00D00A74" w:rsidRDefault="00D00A74" w:rsidP="00C14381">
    <w:r>
      <w:tab/>
    </w:r>
    <w:r>
      <w:tab/>
    </w:r>
    <w:r>
      <w:tab/>
    </w:r>
    <w:r>
      <w:tab/>
    </w:r>
    <w:r>
      <w:tab/>
    </w:r>
  </w:p>
  <w:p w14:paraId="2DE2A484" w14:textId="134C0EFB" w:rsidR="00A47A56" w:rsidRPr="00C01009" w:rsidRDefault="00D00A74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57"/>
    <w:rsid w:val="000107CA"/>
    <w:rsid w:val="00020E8A"/>
    <w:rsid w:val="0002685E"/>
    <w:rsid w:val="00030EFF"/>
    <w:rsid w:val="00033159"/>
    <w:rsid w:val="00034098"/>
    <w:rsid w:val="00036031"/>
    <w:rsid w:val="00037EAD"/>
    <w:rsid w:val="00042E3D"/>
    <w:rsid w:val="00052775"/>
    <w:rsid w:val="00054AB4"/>
    <w:rsid w:val="00056995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56BD"/>
    <w:rsid w:val="00092021"/>
    <w:rsid w:val="000926A0"/>
    <w:rsid w:val="00094233"/>
    <w:rsid w:val="00096C4F"/>
    <w:rsid w:val="00097762"/>
    <w:rsid w:val="00097F1D"/>
    <w:rsid w:val="000A6769"/>
    <w:rsid w:val="000B1B68"/>
    <w:rsid w:val="000B482B"/>
    <w:rsid w:val="000B5C75"/>
    <w:rsid w:val="000B67C9"/>
    <w:rsid w:val="000C14AB"/>
    <w:rsid w:val="000C1549"/>
    <w:rsid w:val="000C199E"/>
    <w:rsid w:val="000D0A41"/>
    <w:rsid w:val="000D1A0F"/>
    <w:rsid w:val="000D24A2"/>
    <w:rsid w:val="000D2987"/>
    <w:rsid w:val="000D4CD6"/>
    <w:rsid w:val="000D5E34"/>
    <w:rsid w:val="000D7282"/>
    <w:rsid w:val="000F048D"/>
    <w:rsid w:val="000F445A"/>
    <w:rsid w:val="00100FE2"/>
    <w:rsid w:val="001017E8"/>
    <w:rsid w:val="0011324D"/>
    <w:rsid w:val="00117299"/>
    <w:rsid w:val="001230B3"/>
    <w:rsid w:val="001244A0"/>
    <w:rsid w:val="00131309"/>
    <w:rsid w:val="00135E8A"/>
    <w:rsid w:val="00137D89"/>
    <w:rsid w:val="00137F3E"/>
    <w:rsid w:val="001416EB"/>
    <w:rsid w:val="001505D8"/>
    <w:rsid w:val="00152966"/>
    <w:rsid w:val="001573BE"/>
    <w:rsid w:val="00165BDE"/>
    <w:rsid w:val="00172FAE"/>
    <w:rsid w:val="0017359B"/>
    <w:rsid w:val="00175C9E"/>
    <w:rsid w:val="00176B2A"/>
    <w:rsid w:val="00177578"/>
    <w:rsid w:val="001821C0"/>
    <w:rsid w:val="001878CB"/>
    <w:rsid w:val="001902F1"/>
    <w:rsid w:val="00193C57"/>
    <w:rsid w:val="001952FE"/>
    <w:rsid w:val="00196B9B"/>
    <w:rsid w:val="001A01BB"/>
    <w:rsid w:val="001A1592"/>
    <w:rsid w:val="001A5889"/>
    <w:rsid w:val="001B4DEE"/>
    <w:rsid w:val="001B5325"/>
    <w:rsid w:val="001B6682"/>
    <w:rsid w:val="001B6BAE"/>
    <w:rsid w:val="001C016C"/>
    <w:rsid w:val="001C035B"/>
    <w:rsid w:val="001C317F"/>
    <w:rsid w:val="001D1518"/>
    <w:rsid w:val="001D5716"/>
    <w:rsid w:val="001E16F6"/>
    <w:rsid w:val="001E29F4"/>
    <w:rsid w:val="001F4605"/>
    <w:rsid w:val="001F77DB"/>
    <w:rsid w:val="00216A38"/>
    <w:rsid w:val="0021798B"/>
    <w:rsid w:val="00217FCC"/>
    <w:rsid w:val="0022039B"/>
    <w:rsid w:val="00226248"/>
    <w:rsid w:val="00226295"/>
    <w:rsid w:val="00250927"/>
    <w:rsid w:val="0025573E"/>
    <w:rsid w:val="00260D16"/>
    <w:rsid w:val="00261519"/>
    <w:rsid w:val="00263BE8"/>
    <w:rsid w:val="002739D0"/>
    <w:rsid w:val="00280201"/>
    <w:rsid w:val="002810F6"/>
    <w:rsid w:val="00284540"/>
    <w:rsid w:val="00290372"/>
    <w:rsid w:val="00290638"/>
    <w:rsid w:val="00292203"/>
    <w:rsid w:val="0029351D"/>
    <w:rsid w:val="00296834"/>
    <w:rsid w:val="002B5553"/>
    <w:rsid w:val="002C7232"/>
    <w:rsid w:val="002D2AC8"/>
    <w:rsid w:val="002D3AC1"/>
    <w:rsid w:val="002D5FE0"/>
    <w:rsid w:val="002E51A5"/>
    <w:rsid w:val="002F1B64"/>
    <w:rsid w:val="002F59E8"/>
    <w:rsid w:val="002F6CF4"/>
    <w:rsid w:val="003013F9"/>
    <w:rsid w:val="00303BF4"/>
    <w:rsid w:val="00303D9B"/>
    <w:rsid w:val="00323D50"/>
    <w:rsid w:val="00325973"/>
    <w:rsid w:val="00334C4F"/>
    <w:rsid w:val="00341580"/>
    <w:rsid w:val="00347040"/>
    <w:rsid w:val="00360571"/>
    <w:rsid w:val="0036228C"/>
    <w:rsid w:val="00366E4F"/>
    <w:rsid w:val="003702DC"/>
    <w:rsid w:val="003851E4"/>
    <w:rsid w:val="003924A2"/>
    <w:rsid w:val="003938F0"/>
    <w:rsid w:val="003A378E"/>
    <w:rsid w:val="003B35B5"/>
    <w:rsid w:val="003B422D"/>
    <w:rsid w:val="003C51CC"/>
    <w:rsid w:val="003D1E62"/>
    <w:rsid w:val="003E1B97"/>
    <w:rsid w:val="003E2625"/>
    <w:rsid w:val="003E406D"/>
    <w:rsid w:val="003E4BC3"/>
    <w:rsid w:val="003E616F"/>
    <w:rsid w:val="003F1AD4"/>
    <w:rsid w:val="003F5ACE"/>
    <w:rsid w:val="00403800"/>
    <w:rsid w:val="004141C0"/>
    <w:rsid w:val="00417AE5"/>
    <w:rsid w:val="0042000E"/>
    <w:rsid w:val="00432416"/>
    <w:rsid w:val="00433D17"/>
    <w:rsid w:val="00440AFC"/>
    <w:rsid w:val="0044112F"/>
    <w:rsid w:val="0044628E"/>
    <w:rsid w:val="0045117B"/>
    <w:rsid w:val="00453918"/>
    <w:rsid w:val="00454CA5"/>
    <w:rsid w:val="00463BC6"/>
    <w:rsid w:val="004655ED"/>
    <w:rsid w:val="004775CD"/>
    <w:rsid w:val="00481584"/>
    <w:rsid w:val="00483D3F"/>
    <w:rsid w:val="004877E1"/>
    <w:rsid w:val="00487A64"/>
    <w:rsid w:val="00492ED0"/>
    <w:rsid w:val="004937CF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E2EF6"/>
    <w:rsid w:val="004E3F39"/>
    <w:rsid w:val="004E471B"/>
    <w:rsid w:val="004E4BF5"/>
    <w:rsid w:val="004F1C30"/>
    <w:rsid w:val="004F6B0C"/>
    <w:rsid w:val="004F78CE"/>
    <w:rsid w:val="005100AE"/>
    <w:rsid w:val="00513746"/>
    <w:rsid w:val="00526834"/>
    <w:rsid w:val="00530F6E"/>
    <w:rsid w:val="00534D5D"/>
    <w:rsid w:val="005427B9"/>
    <w:rsid w:val="00545D31"/>
    <w:rsid w:val="00546A41"/>
    <w:rsid w:val="005552FB"/>
    <w:rsid w:val="00556C5B"/>
    <w:rsid w:val="00560067"/>
    <w:rsid w:val="0056506C"/>
    <w:rsid w:val="005658FC"/>
    <w:rsid w:val="0056712F"/>
    <w:rsid w:val="005713CA"/>
    <w:rsid w:val="0057495A"/>
    <w:rsid w:val="00585517"/>
    <w:rsid w:val="00587177"/>
    <w:rsid w:val="0059190F"/>
    <w:rsid w:val="00594F81"/>
    <w:rsid w:val="005956B9"/>
    <w:rsid w:val="00595C20"/>
    <w:rsid w:val="005964F0"/>
    <w:rsid w:val="005B06F4"/>
    <w:rsid w:val="005B119E"/>
    <w:rsid w:val="005C0BEC"/>
    <w:rsid w:val="005C74C7"/>
    <w:rsid w:val="005D2358"/>
    <w:rsid w:val="005D5505"/>
    <w:rsid w:val="005F1377"/>
    <w:rsid w:val="005F55E7"/>
    <w:rsid w:val="005F6D9D"/>
    <w:rsid w:val="006125CE"/>
    <w:rsid w:val="006260E1"/>
    <w:rsid w:val="00633AAE"/>
    <w:rsid w:val="006426D5"/>
    <w:rsid w:val="00644ABC"/>
    <w:rsid w:val="00645B1C"/>
    <w:rsid w:val="006506DB"/>
    <w:rsid w:val="00654669"/>
    <w:rsid w:val="00656936"/>
    <w:rsid w:val="00660421"/>
    <w:rsid w:val="00661A3A"/>
    <w:rsid w:val="00661AE2"/>
    <w:rsid w:val="006635F8"/>
    <w:rsid w:val="00676D63"/>
    <w:rsid w:val="0068064D"/>
    <w:rsid w:val="00681FEA"/>
    <w:rsid w:val="00685C5D"/>
    <w:rsid w:val="00693022"/>
    <w:rsid w:val="006A5998"/>
    <w:rsid w:val="006B1E21"/>
    <w:rsid w:val="006B4525"/>
    <w:rsid w:val="006B4D8C"/>
    <w:rsid w:val="006C1312"/>
    <w:rsid w:val="006D0761"/>
    <w:rsid w:val="006E328E"/>
    <w:rsid w:val="006F2B49"/>
    <w:rsid w:val="006F49C2"/>
    <w:rsid w:val="00700049"/>
    <w:rsid w:val="00701CEC"/>
    <w:rsid w:val="00704A98"/>
    <w:rsid w:val="00707E44"/>
    <w:rsid w:val="00711780"/>
    <w:rsid w:val="00713E80"/>
    <w:rsid w:val="00714DE7"/>
    <w:rsid w:val="007175FD"/>
    <w:rsid w:val="007204FB"/>
    <w:rsid w:val="007209ED"/>
    <w:rsid w:val="007241FA"/>
    <w:rsid w:val="007259E9"/>
    <w:rsid w:val="0073005C"/>
    <w:rsid w:val="00730504"/>
    <w:rsid w:val="007437E1"/>
    <w:rsid w:val="0074580A"/>
    <w:rsid w:val="00746EE9"/>
    <w:rsid w:val="00747BAF"/>
    <w:rsid w:val="007538CC"/>
    <w:rsid w:val="00753E9D"/>
    <w:rsid w:val="0075652B"/>
    <w:rsid w:val="007566D6"/>
    <w:rsid w:val="00761BCE"/>
    <w:rsid w:val="00761F74"/>
    <w:rsid w:val="00765EE4"/>
    <w:rsid w:val="00766C92"/>
    <w:rsid w:val="007713DF"/>
    <w:rsid w:val="00772CA3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F75"/>
    <w:rsid w:val="007A63A6"/>
    <w:rsid w:val="007B6526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1768"/>
    <w:rsid w:val="00813750"/>
    <w:rsid w:val="008179BF"/>
    <w:rsid w:val="00827A2B"/>
    <w:rsid w:val="00840FD2"/>
    <w:rsid w:val="008415CE"/>
    <w:rsid w:val="00843209"/>
    <w:rsid w:val="00844069"/>
    <w:rsid w:val="0084523F"/>
    <w:rsid w:val="00846D35"/>
    <w:rsid w:val="00862892"/>
    <w:rsid w:val="00862F40"/>
    <w:rsid w:val="00864435"/>
    <w:rsid w:val="00864637"/>
    <w:rsid w:val="00867FDA"/>
    <w:rsid w:val="00871942"/>
    <w:rsid w:val="00872265"/>
    <w:rsid w:val="008770A0"/>
    <w:rsid w:val="008820A8"/>
    <w:rsid w:val="00882A32"/>
    <w:rsid w:val="00885AD7"/>
    <w:rsid w:val="00885D40"/>
    <w:rsid w:val="00886A5C"/>
    <w:rsid w:val="0089221B"/>
    <w:rsid w:val="00892BAA"/>
    <w:rsid w:val="008961E9"/>
    <w:rsid w:val="00896CBE"/>
    <w:rsid w:val="008A39B8"/>
    <w:rsid w:val="008A45AF"/>
    <w:rsid w:val="008B36B2"/>
    <w:rsid w:val="008B5F03"/>
    <w:rsid w:val="008C6386"/>
    <w:rsid w:val="008D1AB8"/>
    <w:rsid w:val="008D326E"/>
    <w:rsid w:val="008E2154"/>
    <w:rsid w:val="008E6215"/>
    <w:rsid w:val="008E6781"/>
    <w:rsid w:val="008F0001"/>
    <w:rsid w:val="008F2906"/>
    <w:rsid w:val="00901328"/>
    <w:rsid w:val="009016C0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43DCD"/>
    <w:rsid w:val="00945CAC"/>
    <w:rsid w:val="00950826"/>
    <w:rsid w:val="009530EE"/>
    <w:rsid w:val="009607F6"/>
    <w:rsid w:val="0096415A"/>
    <w:rsid w:val="009659B7"/>
    <w:rsid w:val="009714F5"/>
    <w:rsid w:val="009719BC"/>
    <w:rsid w:val="00974AA1"/>
    <w:rsid w:val="00986755"/>
    <w:rsid w:val="00990C56"/>
    <w:rsid w:val="00991DA4"/>
    <w:rsid w:val="00992707"/>
    <w:rsid w:val="0099795E"/>
    <w:rsid w:val="009A28B8"/>
    <w:rsid w:val="009A2C2E"/>
    <w:rsid w:val="009B4177"/>
    <w:rsid w:val="009B44DE"/>
    <w:rsid w:val="009B7E08"/>
    <w:rsid w:val="009C2D2A"/>
    <w:rsid w:val="009C4F5D"/>
    <w:rsid w:val="009C63F5"/>
    <w:rsid w:val="009C6DBC"/>
    <w:rsid w:val="009D0629"/>
    <w:rsid w:val="009D4FE2"/>
    <w:rsid w:val="009E0A45"/>
    <w:rsid w:val="009E12FC"/>
    <w:rsid w:val="009F1552"/>
    <w:rsid w:val="00A0298B"/>
    <w:rsid w:val="00A02C2A"/>
    <w:rsid w:val="00A15A0A"/>
    <w:rsid w:val="00A167DB"/>
    <w:rsid w:val="00A172EA"/>
    <w:rsid w:val="00A23206"/>
    <w:rsid w:val="00A303D6"/>
    <w:rsid w:val="00A32C44"/>
    <w:rsid w:val="00A40E26"/>
    <w:rsid w:val="00A40EBC"/>
    <w:rsid w:val="00A40F80"/>
    <w:rsid w:val="00A44B29"/>
    <w:rsid w:val="00A51332"/>
    <w:rsid w:val="00A5188B"/>
    <w:rsid w:val="00A51B1D"/>
    <w:rsid w:val="00A5433B"/>
    <w:rsid w:val="00A57D22"/>
    <w:rsid w:val="00A660B2"/>
    <w:rsid w:val="00A80935"/>
    <w:rsid w:val="00A824B7"/>
    <w:rsid w:val="00A825D1"/>
    <w:rsid w:val="00A928B8"/>
    <w:rsid w:val="00AA2AA7"/>
    <w:rsid w:val="00AA50EA"/>
    <w:rsid w:val="00AA5315"/>
    <w:rsid w:val="00AA7CAC"/>
    <w:rsid w:val="00AB05F4"/>
    <w:rsid w:val="00AB1DD1"/>
    <w:rsid w:val="00AC1A9A"/>
    <w:rsid w:val="00AC3D00"/>
    <w:rsid w:val="00AC5FDE"/>
    <w:rsid w:val="00AC746D"/>
    <w:rsid w:val="00AD1084"/>
    <w:rsid w:val="00AD1A69"/>
    <w:rsid w:val="00AE3998"/>
    <w:rsid w:val="00AE6026"/>
    <w:rsid w:val="00AE65DF"/>
    <w:rsid w:val="00AE7144"/>
    <w:rsid w:val="00AF08BA"/>
    <w:rsid w:val="00AF1897"/>
    <w:rsid w:val="00AF5B82"/>
    <w:rsid w:val="00B03B8D"/>
    <w:rsid w:val="00B07F72"/>
    <w:rsid w:val="00B10D51"/>
    <w:rsid w:val="00B11039"/>
    <w:rsid w:val="00B227C1"/>
    <w:rsid w:val="00B311AA"/>
    <w:rsid w:val="00B3348D"/>
    <w:rsid w:val="00B50A96"/>
    <w:rsid w:val="00B53507"/>
    <w:rsid w:val="00B60DEE"/>
    <w:rsid w:val="00B61B0C"/>
    <w:rsid w:val="00B632C4"/>
    <w:rsid w:val="00B67455"/>
    <w:rsid w:val="00B746AB"/>
    <w:rsid w:val="00B76758"/>
    <w:rsid w:val="00B92EBF"/>
    <w:rsid w:val="00B940D1"/>
    <w:rsid w:val="00B97277"/>
    <w:rsid w:val="00BA1906"/>
    <w:rsid w:val="00BA3ECF"/>
    <w:rsid w:val="00BA41B1"/>
    <w:rsid w:val="00BB0E62"/>
    <w:rsid w:val="00BB5981"/>
    <w:rsid w:val="00BC2EA5"/>
    <w:rsid w:val="00BC350A"/>
    <w:rsid w:val="00BE184C"/>
    <w:rsid w:val="00BE785D"/>
    <w:rsid w:val="00BF63A5"/>
    <w:rsid w:val="00C002CF"/>
    <w:rsid w:val="00C006BF"/>
    <w:rsid w:val="00C0324D"/>
    <w:rsid w:val="00C13740"/>
    <w:rsid w:val="00C155E6"/>
    <w:rsid w:val="00C17A77"/>
    <w:rsid w:val="00C2285B"/>
    <w:rsid w:val="00C404D7"/>
    <w:rsid w:val="00C46B30"/>
    <w:rsid w:val="00C53405"/>
    <w:rsid w:val="00C611B0"/>
    <w:rsid w:val="00C75CC7"/>
    <w:rsid w:val="00C82FA8"/>
    <w:rsid w:val="00C8444E"/>
    <w:rsid w:val="00C86245"/>
    <w:rsid w:val="00C91C27"/>
    <w:rsid w:val="00C92EAD"/>
    <w:rsid w:val="00C94CF7"/>
    <w:rsid w:val="00C9758A"/>
    <w:rsid w:val="00CA205A"/>
    <w:rsid w:val="00CB1B85"/>
    <w:rsid w:val="00CB45CA"/>
    <w:rsid w:val="00CD0FBB"/>
    <w:rsid w:val="00CD6434"/>
    <w:rsid w:val="00CD6E3B"/>
    <w:rsid w:val="00CE66BA"/>
    <w:rsid w:val="00CF43B9"/>
    <w:rsid w:val="00CF4C6B"/>
    <w:rsid w:val="00D00834"/>
    <w:rsid w:val="00D00A74"/>
    <w:rsid w:val="00D0278E"/>
    <w:rsid w:val="00D049B0"/>
    <w:rsid w:val="00D0520A"/>
    <w:rsid w:val="00D05427"/>
    <w:rsid w:val="00D174BF"/>
    <w:rsid w:val="00D22EC7"/>
    <w:rsid w:val="00D24588"/>
    <w:rsid w:val="00D26A4A"/>
    <w:rsid w:val="00D30CCD"/>
    <w:rsid w:val="00D36EFD"/>
    <w:rsid w:val="00D40456"/>
    <w:rsid w:val="00D40FFE"/>
    <w:rsid w:val="00D45087"/>
    <w:rsid w:val="00D457D3"/>
    <w:rsid w:val="00D45C63"/>
    <w:rsid w:val="00D51238"/>
    <w:rsid w:val="00D53AC5"/>
    <w:rsid w:val="00D54A9D"/>
    <w:rsid w:val="00D61339"/>
    <w:rsid w:val="00D620B1"/>
    <w:rsid w:val="00D731F3"/>
    <w:rsid w:val="00D86831"/>
    <w:rsid w:val="00D91AEA"/>
    <w:rsid w:val="00DA239D"/>
    <w:rsid w:val="00DA3EDC"/>
    <w:rsid w:val="00DA7958"/>
    <w:rsid w:val="00DC4468"/>
    <w:rsid w:val="00DC45B3"/>
    <w:rsid w:val="00DD0E21"/>
    <w:rsid w:val="00DD5722"/>
    <w:rsid w:val="00DD6089"/>
    <w:rsid w:val="00DE0C1D"/>
    <w:rsid w:val="00DE24ED"/>
    <w:rsid w:val="00DE29B9"/>
    <w:rsid w:val="00DE2A48"/>
    <w:rsid w:val="00DE334F"/>
    <w:rsid w:val="00DE349D"/>
    <w:rsid w:val="00DE52CD"/>
    <w:rsid w:val="00DF5F93"/>
    <w:rsid w:val="00DF75F6"/>
    <w:rsid w:val="00E03463"/>
    <w:rsid w:val="00E034FF"/>
    <w:rsid w:val="00E04220"/>
    <w:rsid w:val="00E0466D"/>
    <w:rsid w:val="00E063EB"/>
    <w:rsid w:val="00E07723"/>
    <w:rsid w:val="00E07A5B"/>
    <w:rsid w:val="00E12E42"/>
    <w:rsid w:val="00E14F86"/>
    <w:rsid w:val="00E15810"/>
    <w:rsid w:val="00E16835"/>
    <w:rsid w:val="00E2055C"/>
    <w:rsid w:val="00E3082A"/>
    <w:rsid w:val="00E3472B"/>
    <w:rsid w:val="00E37D12"/>
    <w:rsid w:val="00E46838"/>
    <w:rsid w:val="00E50452"/>
    <w:rsid w:val="00E51B24"/>
    <w:rsid w:val="00E57C47"/>
    <w:rsid w:val="00E57DE4"/>
    <w:rsid w:val="00E60232"/>
    <w:rsid w:val="00E6413C"/>
    <w:rsid w:val="00E70015"/>
    <w:rsid w:val="00E71469"/>
    <w:rsid w:val="00E73EA9"/>
    <w:rsid w:val="00E74667"/>
    <w:rsid w:val="00E748CE"/>
    <w:rsid w:val="00E7535A"/>
    <w:rsid w:val="00E753E9"/>
    <w:rsid w:val="00E85919"/>
    <w:rsid w:val="00E87A5E"/>
    <w:rsid w:val="00E95CD6"/>
    <w:rsid w:val="00E975B9"/>
    <w:rsid w:val="00EA6171"/>
    <w:rsid w:val="00EB2588"/>
    <w:rsid w:val="00EB6142"/>
    <w:rsid w:val="00EB79F0"/>
    <w:rsid w:val="00EE5D8F"/>
    <w:rsid w:val="00EE78A5"/>
    <w:rsid w:val="00EF69E0"/>
    <w:rsid w:val="00EF6C6A"/>
    <w:rsid w:val="00F10661"/>
    <w:rsid w:val="00F14BA3"/>
    <w:rsid w:val="00F15079"/>
    <w:rsid w:val="00F22013"/>
    <w:rsid w:val="00F2206D"/>
    <w:rsid w:val="00F22E47"/>
    <w:rsid w:val="00F25D7A"/>
    <w:rsid w:val="00F33CEE"/>
    <w:rsid w:val="00F3426C"/>
    <w:rsid w:val="00F35E02"/>
    <w:rsid w:val="00F3644A"/>
    <w:rsid w:val="00F3778D"/>
    <w:rsid w:val="00F640D0"/>
    <w:rsid w:val="00F66587"/>
    <w:rsid w:val="00F74849"/>
    <w:rsid w:val="00F80729"/>
    <w:rsid w:val="00F9615C"/>
    <w:rsid w:val="00F9750E"/>
    <w:rsid w:val="00FA1CCB"/>
    <w:rsid w:val="00FA2443"/>
    <w:rsid w:val="00FA6FFE"/>
    <w:rsid w:val="00FB3FAA"/>
    <w:rsid w:val="00FC20B3"/>
    <w:rsid w:val="00FC2848"/>
    <w:rsid w:val="00FD3CB8"/>
    <w:rsid w:val="00FE1110"/>
    <w:rsid w:val="00FF1222"/>
    <w:rsid w:val="00FF18BC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1"/>
    </o:shapelayout>
  </w:shapeDefaults>
  <w:doNotEmbedSmartTags/>
  <w:decimalSymbol w:val=","/>
  <w:listSeparator w:val=";"/>
  <w14:docId w14:val="77E60BFD"/>
  <w15:docId w15:val="{727D4CBB-EB39-4941-B2D5-9D2D95FA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P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1DA2"/>
    <w:pPr>
      <w:spacing w:line="280" w:lineRule="exact"/>
    </w:pPr>
    <w:rPr>
      <w:rFonts w:ascii="Arial" w:hAnsi="Arial"/>
      <w:color w:val="000000"/>
      <w:sz w:val="18"/>
      <w:szCs w:val="14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pt-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pt-PT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pt-P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pt-PT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pt-PT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pt-PT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ivali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fcabank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97551-9C8C-4765-95B0-53C58771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1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FCA BANK Press Release</vt:lpstr>
      <vt:lpstr>FCA BANK Press Release</vt:lpstr>
    </vt:vector>
  </TitlesOfParts>
  <Company>FIATGROUP</Company>
  <LinksUpToDate>false</LinksUpToDate>
  <CharactersWithSpaces>6997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FCA BANK Press Release</dc:title>
  <dc:creator>Administrator</dc:creator>
  <cp:lastModifiedBy>Giovanni Santonastaso</cp:lastModifiedBy>
  <cp:revision>5</cp:revision>
  <cp:lastPrinted>2018-02-23T16:09:00Z</cp:lastPrinted>
  <dcterms:created xsi:type="dcterms:W3CDTF">2022-10-14T07:58:00Z</dcterms:created>
  <dcterms:modified xsi:type="dcterms:W3CDTF">2022-10-15T09:11:00Z</dcterms:modified>
</cp:coreProperties>
</file>